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76" w:before="0" w:after="0"/>
        <w:rPr/>
      </w:pPr>
      <w:r>
        <w:rPr/>
        <w:drawing>
          <wp:inline distT="0" distB="0" distL="0" distR="0">
            <wp:extent cx="5940425" cy="1031240"/>
            <wp:effectExtent l="0" t="0" r="0" b="0"/>
            <wp:docPr id="0" name="Picture" descr="C:\Users\Инна\Desktop\Проекты Ивент направления\блан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Users\Инна\Desktop\Проекты Ивент направления\бланк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cs="Times New Roman" w:ascii="Times New Roman" w:hAnsi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ПРЕСС-РЕЛИЗ </w:t>
      </w:r>
    </w:p>
    <w:p>
      <w:pPr>
        <w:pStyle w:val="NormalWeb"/>
        <w:shd w:fill="FFFFFF" w:val="clear"/>
        <w:spacing w:lineRule="auto" w:line="276" w:before="280" w:after="280"/>
        <w:ind w:left="0" w:right="0" w:firstLine="708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Web"/>
        <w:shd w:fill="FFFFFF" w:val="clear"/>
        <w:spacing w:lineRule="auto" w:line="276" w:before="280" w:after="280"/>
        <w:ind w:left="0" w:right="0" w:firstLine="708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26-28 октября 2016 года в Казани пройдет Профессиональная выставка ресторанного и гостиничного бизнеса «HORECA </w:t>
      </w:r>
      <w:r>
        <w:rPr>
          <w:b/>
          <w:bCs/>
          <w:color w:val="000000"/>
          <w:sz w:val="26"/>
          <w:szCs w:val="26"/>
          <w:lang w:val="en-US"/>
        </w:rPr>
        <w:t>KAZAN</w:t>
      </w:r>
      <w:r>
        <w:rPr>
          <w:b/>
          <w:bCs/>
          <w:color w:val="000000"/>
          <w:sz w:val="26"/>
          <w:szCs w:val="26"/>
        </w:rPr>
        <w:t xml:space="preserve"> 2016».</w:t>
      </w:r>
    </w:p>
    <w:p>
      <w:pPr>
        <w:pStyle w:val="NormalWeb"/>
        <w:shd w:fill="FFFFFF" w:val="clear"/>
        <w:spacing w:lineRule="auto" w:line="276" w:before="280" w:after="280"/>
        <w:ind w:left="0" w:right="0"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Организаторами выставки выступают  ООО «Строй-люкс» (г.Краснодар), ГК «Линия Вкуса», АНО «Центр развития туризма Республики Татарстан» при поддержке Государственного комитета Республики Татарстан по туризму. </w:t>
      </w:r>
      <w:r>
        <w:rPr>
          <w:color w:val="000000"/>
          <w:sz w:val="26"/>
          <w:szCs w:val="26"/>
        </w:rPr>
        <w:t>Соорганизаторами выставки выступают Торгово-промышленная палата Республики Татарстан и Ассоциация рестораторов и отельеров г. Казани и Республики Татарстан. Генеральный застройщик выставки ВЦ «Казанская Ярмарка».</w:t>
      </w:r>
    </w:p>
    <w:p>
      <w:pPr>
        <w:pStyle w:val="NormalWeb"/>
        <w:shd w:fill="FFFFFF" w:val="clear"/>
        <w:spacing w:lineRule="auto" w:line="276" w:before="280" w:after="280"/>
        <w:ind w:left="0" w:right="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Город Казань уже несколько лет подряд занимает лидирующие позиции в рейтинге городов для внутреннего туризма, а также ежегодно принимает крупные международные мероприятия, поэтому гостеприимство занимает почетное место в политике и бизнесе Казани и Республики Татарстан. Не хватает Казани одного – профессионального  мероприятия, на котором владельцы и управляющие профильного бизнеса познакомятся с новинками ресторанного оборудования, технологиями, поделятся опытом и пройдут специализированное обучение.</w:t>
      </w:r>
    </w:p>
    <w:p>
      <w:pPr>
        <w:pStyle w:val="NormalWeb"/>
        <w:shd w:fill="FFFFFF" w:val="clear"/>
        <w:spacing w:lineRule="auto" w:line="276" w:before="280" w:after="280"/>
        <w:ind w:left="0" w:right="0" w:firstLine="708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Выставка «HORECA K</w:t>
      </w:r>
      <w:r>
        <w:rPr>
          <w:b/>
          <w:bCs/>
          <w:color w:val="000000"/>
          <w:sz w:val="26"/>
          <w:szCs w:val="26"/>
          <w:lang w:val="en-US"/>
        </w:rPr>
        <w:t>AZAN</w:t>
      </w:r>
      <w:r>
        <w:rPr>
          <w:b/>
          <w:bCs/>
          <w:color w:val="000000"/>
          <w:sz w:val="26"/>
          <w:szCs w:val="26"/>
        </w:rPr>
        <w:t xml:space="preserve"> 2016» </w:t>
      </w:r>
      <w:r>
        <w:rPr>
          <w:sz w:val="26"/>
          <w:szCs w:val="26"/>
        </w:rPr>
        <w:t xml:space="preserve">объединит поставщиков, производителей и собственников сегмента </w:t>
      </w:r>
      <w:r>
        <w:rPr>
          <w:sz w:val="26"/>
          <w:szCs w:val="26"/>
          <w:lang w:val="en-US"/>
        </w:rPr>
        <w:t>HoReCa</w:t>
      </w:r>
      <w:r>
        <w:rPr>
          <w:sz w:val="26"/>
          <w:szCs w:val="26"/>
        </w:rPr>
        <w:t xml:space="preserve"> на одной площадке. </w:t>
      </w:r>
      <w:r>
        <w:rPr>
          <w:color w:val="000000"/>
          <w:sz w:val="26"/>
          <w:szCs w:val="26"/>
        </w:rPr>
        <w:t>Аудитория выставки: рестораторы, отельеры, повара и шеф-повара, владельцы бизнеса и инвесторы, менеджеры и управляющие, снабженцы и директора – все, кто создает гостеприимство в Республике Татарстан.</w:t>
      </w:r>
    </w:p>
    <w:p>
      <w:pPr>
        <w:pStyle w:val="NormalWeb"/>
        <w:shd w:fill="FFFFFF" w:val="clear"/>
        <w:spacing w:lineRule="auto" w:line="276" w:before="280" w:after="280"/>
        <w:ind w:left="0" w:right="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рамках деловой программы выставки пройдет «Chef a la Russe» – отборочный этап профессионального кулинарного конкурса среди поваров, победители которого выступят на финале в Москве; </w:t>
      </w:r>
      <w:r>
        <w:rPr>
          <w:color w:val="000000"/>
          <w:sz w:val="26"/>
          <w:szCs w:val="26"/>
        </w:rPr>
        <w:t>а также</w:t>
      </w:r>
      <w:r>
        <w:rPr>
          <w:color w:val="000000"/>
          <w:sz w:val="26"/>
          <w:szCs w:val="26"/>
        </w:rPr>
        <w:t xml:space="preserve"> финальный этап выбора победителей премии </w:t>
      </w:r>
      <w:r>
        <w:rPr>
          <w:color w:val="000000"/>
          <w:sz w:val="26"/>
          <w:szCs w:val="26"/>
          <w:lang w:val="en-US"/>
        </w:rPr>
        <w:t>Tatarstan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Top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Restaurants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 xml:space="preserve">Award </w:t>
      </w:r>
      <w:r>
        <w:rPr>
          <w:color w:val="000000"/>
          <w:sz w:val="26"/>
          <w:szCs w:val="26"/>
          <w:lang w:val="en-US"/>
        </w:rPr>
        <w:t>в формате</w:t>
      </w:r>
      <w:r>
        <w:rPr>
          <w:color w:val="000000"/>
          <w:sz w:val="26"/>
          <w:szCs w:val="26"/>
        </w:rPr>
        <w:t xml:space="preserve"> «Черный ящик». Участников ждет насыщенная деловая программа на трех площадках: отели-рестораны-повара, включающая лекции, тренинги, мастер-классы.</w:t>
      </w:r>
    </w:p>
    <w:p>
      <w:pPr>
        <w:pStyle w:val="NormalWeb"/>
        <w:shd w:fill="FFFFFF" w:val="clear"/>
        <w:spacing w:lineRule="auto" w:line="276" w:before="280" w:after="280"/>
        <w:ind w:left="0" w:right="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Организаторы уделяют большое внимание нетворкингу, поэтому в конце первого дня работы выставки пройдет face2fa</w:t>
      </w:r>
      <w:bookmarkStart w:id="0" w:name="_GoBack"/>
      <w:bookmarkEnd w:id="0"/>
      <w:r>
        <w:rPr>
          <w:color w:val="000000"/>
          <w:sz w:val="26"/>
          <w:szCs w:val="26"/>
        </w:rPr>
        <w:t xml:space="preserve">ce-сессия, на которой экспоненты познакомятся и пообщаются лично с рестораторами и отельерами Татарстана, спикерами выставки, партнерами, организаторами. </w:t>
      </w:r>
    </w:p>
    <w:p>
      <w:pPr>
        <w:pStyle w:val="NormalWeb"/>
        <w:shd w:fill="FFFFFF" w:val="clear"/>
        <w:spacing w:lineRule="auto" w:line="276" w:before="280" w:after="280"/>
        <w:ind w:left="0" w:right="0" w:hanging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Ключевые партнеры </w:t>
      </w:r>
      <w:r>
        <w:rPr>
          <w:rStyle w:val="Strong"/>
          <w:color w:val="000000"/>
          <w:sz w:val="26"/>
          <w:szCs w:val="26"/>
          <w:shd w:fill="FFFFFF" w:val="clear"/>
        </w:rPr>
        <w:t xml:space="preserve">выставки </w:t>
      </w:r>
      <w:r>
        <w:rPr>
          <w:b/>
          <w:bCs/>
          <w:color w:val="000000"/>
          <w:sz w:val="26"/>
          <w:szCs w:val="26"/>
        </w:rPr>
        <w:t>«HORECA K</w:t>
      </w:r>
      <w:r>
        <w:rPr>
          <w:b/>
          <w:bCs/>
          <w:color w:val="000000"/>
          <w:sz w:val="26"/>
          <w:szCs w:val="26"/>
          <w:lang w:val="en-US"/>
        </w:rPr>
        <w:t>AZAN</w:t>
      </w:r>
      <w:r>
        <w:rPr>
          <w:b/>
          <w:bCs/>
          <w:color w:val="000000"/>
          <w:sz w:val="26"/>
          <w:szCs w:val="26"/>
        </w:rPr>
        <w:t xml:space="preserve"> 2016»</w:t>
      </w:r>
      <w:r>
        <w:rPr>
          <w:b/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Национальная Ассоциация кулинаров России, METRO Cash&amp;Carry, ООО «ТД Алеф Трейд», компания «</w:t>
      </w:r>
      <w:r>
        <w:rPr>
          <w:color w:val="000000"/>
          <w:sz w:val="26"/>
          <w:szCs w:val="26"/>
          <w:lang w:val="en-US"/>
        </w:rPr>
        <w:t>Pre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Nas</w:t>
      </w:r>
      <w:r>
        <w:rPr>
          <w:color w:val="000000"/>
          <w:sz w:val="26"/>
          <w:szCs w:val="26"/>
        </w:rPr>
        <w:t xml:space="preserve">», </w:t>
      </w:r>
      <w:r>
        <w:rPr>
          <w:color w:val="000000"/>
          <w:sz w:val="26"/>
          <w:szCs w:val="26"/>
        </w:rPr>
        <w:t>HURMA Management Group.</w:t>
      </w:r>
    </w:p>
    <w:p>
      <w:pPr>
        <w:pStyle w:val="NormalWeb"/>
        <w:shd w:fill="FFFFFF" w:val="clear"/>
        <w:spacing w:lineRule="auto" w:line="276" w:before="280" w:after="280"/>
        <w:ind w:left="0" w:right="0" w:hanging="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Партнер по аудио- визуальному оборудованию: </w:t>
      </w:r>
      <w:r>
        <w:rPr>
          <w:color w:val="000000"/>
          <w:sz w:val="26"/>
          <w:szCs w:val="26"/>
        </w:rPr>
        <w:t>BOSE</w:t>
      </w:r>
    </w:p>
    <w:p>
      <w:pPr>
        <w:pStyle w:val="NormalWeb"/>
        <w:shd w:fill="FFFFFF" w:val="clear"/>
        <w:spacing w:lineRule="auto" w:line="276" w:before="280" w:after="280"/>
        <w:ind w:left="0" w:right="0" w:firstLine="709"/>
        <w:jc w:val="both"/>
        <w:rPr>
          <w:rStyle w:val="Strong"/>
          <w:b w:val="false"/>
          <w:color w:val="000000"/>
          <w:sz w:val="26"/>
          <w:szCs w:val="26"/>
          <w:shd w:fill="FFFFFF" w:val="clear"/>
        </w:rPr>
      </w:pPr>
      <w:r>
        <w:rPr>
          <w:rStyle w:val="Strong"/>
          <w:color w:val="000000"/>
          <w:sz w:val="26"/>
          <w:szCs w:val="26"/>
          <w:shd w:fill="FFFFFF" w:val="clear"/>
        </w:rPr>
        <w:t xml:space="preserve">Партнер зоны поварских мастер-классов: </w:t>
      </w:r>
      <w:r>
        <w:rPr>
          <w:rStyle w:val="Strong"/>
          <w:b w:val="false"/>
          <w:color w:val="000000"/>
          <w:sz w:val="26"/>
          <w:szCs w:val="26"/>
          <w:shd w:fill="FFFFFF" w:val="clear"/>
        </w:rPr>
        <w:t xml:space="preserve">Selgros Cash and Carry, </w:t>
      </w:r>
      <w:r>
        <w:rPr>
          <w:rStyle w:val="Strong"/>
          <w:b w:val="false"/>
          <w:color w:val="000000"/>
          <w:sz w:val="26"/>
          <w:szCs w:val="26"/>
          <w:shd w:fill="FFFFFF" w:val="clear"/>
        </w:rPr>
        <w:t>телеканал «Еда», компания Электролюкс</w:t>
      </w:r>
    </w:p>
    <w:p>
      <w:pPr>
        <w:pStyle w:val="NormalWeb"/>
        <w:shd w:fill="FFFFFF" w:val="clear"/>
        <w:spacing w:lineRule="auto" w:line="276" w:before="280" w:after="280"/>
        <w:ind w:left="0" w:right="0" w:firstLine="709"/>
        <w:jc w:val="both"/>
        <w:rPr>
          <w:rStyle w:val="Strong"/>
          <w:color w:val="000000"/>
          <w:sz w:val="26"/>
          <w:szCs w:val="26"/>
          <w:shd w:fill="FFFFFF" w:val="clear"/>
        </w:rPr>
      </w:pPr>
      <w:r>
        <w:rPr>
          <w:rStyle w:val="Strong"/>
          <w:color w:val="000000"/>
          <w:sz w:val="26"/>
          <w:szCs w:val="26"/>
          <w:shd w:fill="FFFFFF" w:val="clear"/>
        </w:rPr>
        <w:t xml:space="preserve">Информационные партнеры выставки HORECA_Kazan 2016: </w:t>
      </w:r>
    </w:p>
    <w:p>
      <w:pPr>
        <w:pStyle w:val="NormalWeb"/>
        <w:shd w:fill="FFFFFF" w:val="clear"/>
        <w:spacing w:lineRule="auto" w:line="276" w:before="280" w:after="280"/>
        <w:ind w:left="0" w:right="0" w:firstLine="709"/>
        <w:jc w:val="both"/>
        <w:rPr>
          <w:rStyle w:val="Strong"/>
          <w:b w:val="false"/>
          <w:color w:val="000000"/>
          <w:sz w:val="26"/>
          <w:szCs w:val="26"/>
          <w:shd w:fill="FFFFFF" w:val="clear"/>
        </w:rPr>
      </w:pPr>
      <w:r>
        <w:rPr>
          <w:rStyle w:val="Strong"/>
          <w:color w:val="000000"/>
          <w:sz w:val="26"/>
          <w:szCs w:val="26"/>
          <w:shd w:fill="FFFFFF" w:val="clear"/>
        </w:rPr>
        <w:t>Генеральный информационный партнеры</w:t>
      </w:r>
      <w:r>
        <w:rPr>
          <w:rStyle w:val="Strong"/>
          <w:b w:val="false"/>
          <w:color w:val="000000"/>
          <w:sz w:val="26"/>
          <w:szCs w:val="26"/>
          <w:shd w:fill="FFFFFF" w:val="clear"/>
        </w:rPr>
        <w:t xml:space="preserve"> - портал HoReCa.ru и журнал Horeca-magazine.ru; </w:t>
      </w:r>
      <w:r>
        <w:rPr>
          <w:rStyle w:val="Strong"/>
          <w:b/>
          <w:bCs/>
          <w:color w:val="000000"/>
          <w:sz w:val="26"/>
          <w:szCs w:val="26"/>
          <w:shd w:fill="FFFFFF" w:val="clear"/>
        </w:rPr>
        <w:t>Официальное деловое издание</w:t>
      </w:r>
      <w:r>
        <w:rPr>
          <w:rStyle w:val="Strong"/>
          <w:b w:val="false"/>
          <w:color w:val="000000"/>
          <w:sz w:val="26"/>
          <w:szCs w:val="26"/>
          <w:shd w:fill="FFFFFF" w:val="clear"/>
        </w:rPr>
        <w:t xml:space="preserve"> - «Эксперт Татарстан»; </w:t>
      </w:r>
      <w:r>
        <w:rPr>
          <w:rStyle w:val="Strong"/>
          <w:b/>
          <w:bCs/>
          <w:color w:val="000000"/>
          <w:sz w:val="26"/>
          <w:szCs w:val="26"/>
          <w:shd w:fill="FFFFFF" w:val="clear"/>
        </w:rPr>
        <w:t>Информационные партнеры:</w:t>
      </w:r>
      <w:r>
        <w:rPr>
          <w:rStyle w:val="Strong"/>
          <w:b w:val="false"/>
          <w:color w:val="000000"/>
          <w:sz w:val="26"/>
          <w:szCs w:val="26"/>
          <w:shd w:fill="FFFFFF" w:val="clear"/>
        </w:rPr>
        <w:t xml:space="preserve"> Международный туристский форум в Сочи, Пищеблог.ру, портал «Кейтеринг Консалтинг», портал Resto.ru, журнал “Кофе и Чай в России”, профессиональный портал «Холодильная индустрия», портал вакансий HeadHunter, ИГ «Ресторанные Ведомости», газета «Винная карта», TatCenter.ru, портал «Явкусно», журнал «Выбирай», журнал «Собака», Журнал «Посуда», журнал «Стол», сообщество профессионалов гостиничного бизнеса Frontdesk, </w:t>
      </w:r>
      <w:r>
        <w:rPr>
          <w:rStyle w:val="Strong"/>
          <w:b w:val="false"/>
          <w:color w:val="000000"/>
          <w:sz w:val="26"/>
          <w:szCs w:val="26"/>
          <w:shd w:fill="FFFFFF" w:val="clear"/>
        </w:rPr>
        <w:t>портал «Особое Блюдо», телеканал «Еда», Ассоциация гастрономического туризма России, Национальная гильдия шеф-поваров, Национальная Ассоциация Кулинаров, а также профессиональный портал «Линия Вкуса».</w:t>
      </w:r>
    </w:p>
    <w:p>
      <w:pPr>
        <w:pStyle w:val="NormalWeb"/>
        <w:shd w:fill="FFFFFF" w:val="clear"/>
        <w:spacing w:lineRule="auto" w:line="276" w:before="280" w:after="280"/>
        <w:ind w:left="0" w:right="0" w:firstLine="70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 вопросам участия в выставке или деловой программе обращайтесь в оргкомитет выставки:</w:t>
      </w:r>
    </w:p>
    <w:p>
      <w:pPr>
        <w:pStyle w:val="NormalWeb"/>
        <w:shd w:fill="FFFFFF" w:val="clear"/>
        <w:spacing w:lineRule="auto" w:line="276" w:before="280" w:after="280"/>
        <w:ind w:left="0" w:right="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Бурага Марина +7 918 181 46 55    </w:t>
      </w:r>
      <w:hyperlink r:id="rId3">
        <w:r>
          <w:rPr>
            <w:rStyle w:val="Style13"/>
            <w:color w:val="000000"/>
            <w:sz w:val="26"/>
            <w:szCs w:val="26"/>
          </w:rPr>
          <w:t>bm@horeca-kazan.ru</w:t>
        </w:r>
      </w:hyperlink>
      <w:r>
        <w:rPr>
          <w:color w:val="000000"/>
          <w:sz w:val="26"/>
          <w:szCs w:val="26"/>
        </w:rPr>
        <w:t xml:space="preserve"> </w:t>
      </w:r>
    </w:p>
    <w:p>
      <w:pPr>
        <w:pStyle w:val="NormalWeb"/>
        <w:shd w:fill="FFFFFF" w:val="clear"/>
        <w:spacing w:lineRule="auto" w:line="276" w:before="280" w:after="280"/>
        <w:ind w:left="0" w:right="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Булейко Юлия +7 917 248 59 99     </w:t>
      </w:r>
      <w:hyperlink r:id="rId4">
        <w:r>
          <w:rPr>
            <w:rStyle w:val="Style13"/>
            <w:color w:val="000000"/>
            <w:sz w:val="26"/>
            <w:szCs w:val="26"/>
          </w:rPr>
          <w:t>by@horeca-kazan.ru</w:t>
        </w:r>
      </w:hyperlink>
      <w:r>
        <w:rPr>
          <w:color w:val="000000"/>
          <w:sz w:val="26"/>
          <w:szCs w:val="26"/>
        </w:rPr>
        <w:t xml:space="preserve"> </w:t>
      </w:r>
    </w:p>
    <w:p>
      <w:pPr>
        <w:pStyle w:val="NormalWeb"/>
        <w:shd w:fill="FFFFFF" w:val="clear"/>
        <w:spacing w:lineRule="auto" w:line="276" w:before="280" w:after="280"/>
        <w:ind w:left="0" w:right="0" w:firstLine="708"/>
        <w:jc w:val="both"/>
        <w:rPr>
          <w:rStyle w:val="Appleconvertedspace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Сайт проекта:</w:t>
      </w:r>
      <w:r>
        <w:rPr>
          <w:rStyle w:val="Appleconvertedspace"/>
          <w:color w:val="000000"/>
          <w:sz w:val="26"/>
          <w:szCs w:val="26"/>
        </w:rPr>
        <w:t> </w:t>
      </w:r>
      <w:hyperlink r:id="rId5">
        <w:r>
          <w:rPr>
            <w:rStyle w:val="Style13"/>
            <w:sz w:val="26"/>
            <w:szCs w:val="26"/>
          </w:rPr>
          <w:t>http://horeca-kazan.ru/</w:t>
        </w:r>
      </w:hyperlink>
      <w:r>
        <w:rPr>
          <w:rStyle w:val="Appleconvertedspace"/>
          <w:color w:val="000000"/>
          <w:sz w:val="26"/>
          <w:szCs w:val="26"/>
        </w:rPr>
        <w:t xml:space="preserve"> </w:t>
      </w:r>
    </w:p>
    <w:p>
      <w:pPr>
        <w:pStyle w:val="NormalWeb"/>
        <w:shd w:fill="FFFFFF" w:val="clear"/>
        <w:spacing w:lineRule="auto" w:line="276" w:before="280" w:after="280"/>
        <w:ind w:left="0" w:right="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pacing w:lineRule="auto" w:line="276" w:before="0" w:after="0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rPr>
          <w:rFonts w:cs="Times New Roman"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3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694620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ppleconvertedspace" w:customStyle="1">
    <w:name w:val="apple-converted-space"/>
    <w:rsid w:val="00694620"/>
    <w:basedOn w:val="DefaultParagraphFont"/>
    <w:rPr/>
  </w:style>
  <w:style w:type="character" w:styleId="Style13">
    <w:name w:val="Интернет-ссылка"/>
    <w:uiPriority w:val="99"/>
    <w:unhideWhenUsed/>
    <w:rsid w:val="00694620"/>
    <w:basedOn w:val="DefaultParagraphFont"/>
    <w:rPr>
      <w:color w:val="0000FF"/>
      <w:u w:val="single"/>
      <w:lang w:val="zxx" w:eastAsia="zxx" w:bidi="zxx"/>
    </w:rPr>
  </w:style>
  <w:style w:type="character" w:styleId="21" w:customStyle="1">
    <w:name w:val="Заголовок 2 Знак"/>
    <w:uiPriority w:val="9"/>
    <w:link w:val="2"/>
    <w:rsid w:val="00694620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4" w:customStyle="1">
    <w:name w:val="Текст выноски Знак"/>
    <w:uiPriority w:val="99"/>
    <w:semiHidden/>
    <w:link w:val="a5"/>
    <w:rsid w:val="00ab5c82"/>
    <w:basedOn w:val="DefaultParagraphFont"/>
    <w:rPr>
      <w:rFonts w:ascii="Tahoma" w:hAnsi="Tahoma" w:cs="Tahoma"/>
      <w:sz w:val="16"/>
      <w:szCs w:val="16"/>
    </w:rPr>
  </w:style>
  <w:style w:type="character" w:styleId="WW8Num7z0" w:customStyle="1">
    <w:name w:val="WW8Num7z0"/>
    <w:rsid w:val="00ab5c82"/>
    <w:rPr>
      <w:rFonts w:ascii="Symbol" w:hAnsi="Symbol" w:cs="Symbol"/>
      <w:sz w:val="24"/>
      <w:szCs w:val="24"/>
      <w:lang w:eastAsia="ru-RU"/>
    </w:rPr>
  </w:style>
  <w:style w:type="character" w:styleId="Strong">
    <w:name w:val="Strong"/>
    <w:uiPriority w:val="22"/>
    <w:qFormat/>
    <w:rsid w:val="00387b0e"/>
    <w:rPr>
      <w:b/>
      <w:bCs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unhideWhenUsed/>
    <w:rsid w:val="00694620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uiPriority w:val="99"/>
    <w:semiHidden/>
    <w:unhideWhenUsed/>
    <w:link w:val="a6"/>
    <w:rsid w:val="00ab5c82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bm@horeca-kazan.ru" TargetMode="External"/><Relationship Id="rId4" Type="http://schemas.openxmlformats.org/officeDocument/2006/relationships/hyperlink" Target="mailto:by@horeca-kazan.ru" TargetMode="External"/><Relationship Id="rId5" Type="http://schemas.openxmlformats.org/officeDocument/2006/relationships/hyperlink" Target="http://horeca-kazan.ru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2016-09-08T08:54:00Z</dcterms:created>
  <dc:creator>Инна</dc:creator>
  <dc:language>ru-RU</dc:language>
  <cp:lastModifiedBy>Юлия Потапова</cp:lastModifiedBy>
  <cp:lastPrinted>2016-09-08T13:04:00Z</cp:lastPrinted>
  <dcterms:modified xsi:type="dcterms:W3CDTF">2016-09-09T09:43:00Z</dcterms:modified>
  <cp:revision>6</cp:revision>
</cp:coreProperties>
</file>